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sz w:val="30"/>
          <w:szCs w:val="32"/>
        </w:rPr>
      </w:pPr>
    </w:p>
    <w:p>
      <w:pPr>
        <w:jc w:val="center"/>
        <w:rPr>
          <w:rFonts w:hint="default" w:ascii="Times New Roman" w:hAnsi="Times New Roman" w:cs="Times New Roman"/>
          <w:sz w:val="30"/>
          <w:szCs w:val="32"/>
        </w:rPr>
      </w:pPr>
    </w:p>
    <w:p>
      <w:pPr>
        <w:jc w:val="center"/>
        <w:rPr>
          <w:rFonts w:hint="default" w:ascii="Times New Roman" w:hAnsi="Times New Roman" w:cs="Times New Roman"/>
          <w:sz w:val="30"/>
          <w:szCs w:val="32"/>
        </w:rPr>
      </w:pPr>
    </w:p>
    <w:p>
      <w:pPr>
        <w:jc w:val="center"/>
        <w:rPr>
          <w:rFonts w:hint="default" w:ascii="Times New Roman" w:hAnsi="Times New Roman" w:cs="Times New Roman"/>
          <w:sz w:val="30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600" w:lineRule="exact"/>
        <w:jc w:val="both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闽北职院〔202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46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w w:val="95"/>
          <w:kern w:val="2"/>
          <w:sz w:val="44"/>
          <w:szCs w:val="44"/>
          <w:shd w:val="clear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/>
          <w:w w:val="95"/>
          <w:kern w:val="2"/>
          <w:sz w:val="44"/>
          <w:szCs w:val="44"/>
          <w:shd w:val="clear"/>
          <w:lang w:val="en-US" w:eastAsia="zh-CN" w:bidi="ar-SA"/>
        </w:rPr>
        <w:t>闽北职业技术学院关于印发《闽北职业技术学院辅导员考核实施细则》的通知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0"/>
        <w:jc w:val="left"/>
        <w:textAlignment w:val="auto"/>
        <w:rPr>
          <w:rFonts w:hint="default" w:ascii="Times New Roman" w:hAnsi="Times New Roman" w:eastAsia="仿宋" w:cs="Times New Roman"/>
          <w:color w:val="auto"/>
          <w:positio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0"/>
        <w:jc w:val="left"/>
        <w:textAlignment w:val="auto"/>
        <w:rPr>
          <w:rFonts w:hint="default" w:ascii="Times New Roman" w:hAnsi="Times New Roman" w:eastAsia="仿宋" w:cs="Times New Roman"/>
          <w:color w:val="auto"/>
          <w:positio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position w:val="0"/>
          <w:sz w:val="32"/>
          <w:szCs w:val="32"/>
          <w:highlight w:val="none"/>
        </w:rPr>
        <w:t>各系</w:t>
      </w:r>
      <w:r>
        <w:rPr>
          <w:rFonts w:hint="default" w:ascii="Times New Roman" w:hAnsi="Times New Roman" w:eastAsia="仿宋" w:cs="Times New Roman"/>
          <w:color w:val="auto"/>
          <w:positio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auto"/>
          <w:position w:val="0"/>
          <w:sz w:val="32"/>
          <w:szCs w:val="32"/>
          <w:highlight w:val="none"/>
          <w:lang w:val="en-US" w:eastAsia="zh-CN"/>
        </w:rPr>
        <w:t>处室（部、馆）</w:t>
      </w:r>
      <w:r>
        <w:rPr>
          <w:rFonts w:hint="default" w:ascii="Times New Roman" w:hAnsi="Times New Roman" w:eastAsia="仿宋" w:cs="Times New Roman"/>
          <w:color w:val="auto"/>
          <w:position w:val="0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position w:val="0"/>
          <w:sz w:val="32"/>
          <w:szCs w:val="32"/>
          <w:highlight w:val="none"/>
          <w:lang w:eastAsia="zh-CN"/>
        </w:rPr>
        <w:t>现将</w:t>
      </w:r>
      <w:r>
        <w:rPr>
          <w:rFonts w:hint="default" w:ascii="Times New Roman" w:hAnsi="Times New Roman" w:eastAsia="仿宋" w:cs="Times New Roman"/>
          <w:color w:val="auto"/>
          <w:position w:val="0"/>
          <w:sz w:val="32"/>
          <w:szCs w:val="32"/>
          <w:highlight w:val="none"/>
          <w:lang w:val="en-US" w:eastAsia="zh-CN"/>
        </w:rPr>
        <w:t>修订后的</w:t>
      </w:r>
      <w:r>
        <w:rPr>
          <w:rFonts w:hint="default" w:ascii="Times New Roman" w:hAnsi="Times New Roman" w:eastAsia="仿宋" w:cs="Times New Roman"/>
          <w:color w:val="auto"/>
          <w:position w:val="0"/>
          <w:sz w:val="32"/>
          <w:szCs w:val="32"/>
          <w:highlight w:val="none"/>
          <w:lang w:eastAsia="zh-CN"/>
        </w:rPr>
        <w:t>《闽北职业技术学院辅导员考核实施细则》印发给你们，请遵照执行。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闽北职业技术学院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64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闽北职业技术学院辅导员考核实施细则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为深入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学习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贯彻习近平新时代中国特色社会主义思想和《中共中央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国务院关于加强和改进新形势下高校思想政治工作的意见》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精神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，建立健全科学的辅导员考核指标体系，充分发挥考核工作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的激励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导向作用，依据教育部《普通高等学校辅导员队伍建设规定》等文件精神，结合我院实际，制定本实施细则。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  <w:t>一、考核对象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闽北职业技术学院专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职辅导员。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  <w:t>二、考核时间与内容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考核时间：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辅导员考核工作按每学年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一次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进行，时间一般安排在每年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（二）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考核内容：围绕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“德、能、勤、绩、廉”等五个方面，建立考核指标体系，重点考核工作实绩。内容包括：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1.“德”。主要包括思想政治素质、道德品质、敬业精神和工作态度等；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2.“能”。主要包括工作能力、创新能力和组织协调能力等；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3.“勤”。主要包括工作努力程度、出勤情况、工作落实情况等；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4.“绩”。主要包括完成工作任务的情况和实际工作效果等；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5.“廉”。主要指在各项工作中能够做到公正、公平、公开，廉洁自律，切实履行“一岗双责”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责任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  <w:t>三、考核原则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辅导员考核坚持公平、公正、公开的原则，重点考核辅导员思想政治素质、理论政策水平、工作能力、工作实绩等方面的内容。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质和量相结合的原则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既注重工作量的大小，也注重工作质量的高低；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点和面相结合的原则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既要看工作的重点，也看工作的整体；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常规和创新相结合的原则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既看常规性的日常工作，也看开拓性的创新工作；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过程和结果相结合的原则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既看阶段性结果、最终结果，也看工作过程中的努力程度；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（五）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考评与奖酬相一致的原则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将辅导员考评结果与辅导员的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绩效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、职务评聘相结合。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  <w:t>四、考核方式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（一）辅导员考核每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学年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进行一次，由各系（部）成立由系（部）党政领导、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普通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教师代表等参加的考核小组，具体组织实施。辅导员考核采取系（部）考评和学生工作部门考评相结合的方式进行。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.系（部）考评：各系（部）考核小组召开辅导员述职会议，结合辅导员个人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工作总结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及辅导员日常工作记录，对辅导员进行考评。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.学生工作部门考评：学年末，学院成立由学生工作相关部门组成的辅导员工作考评小组，结合各部门反映的辅导员工作实绩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对辅导员工作开展考评。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（二）辅导员考核结果以量化积分形式体现。系（部）考核分值占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0%，学生工作部门考核分值占30%。在全面考核的基础上，依据考核综合得分确定考核等级。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  <w:t>五、考核等级评定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（一）考核等级分为优秀、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良好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、合格、不合格四个等级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，其中，优秀等次占比不超过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20%，合格等次占比与优秀相同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（二）辅导员有下列情形之一，认定为“不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合格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”：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1.考核总分低于60分；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.因个人工作不力而直接造成重大人员伤亡或责任事故、财产损失的；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违反师德师风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规定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不重视教师职业道德修养、职业操守而产生恶劣影响的；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.违反意识形态工作要求，在师生中散布影响安定团结或违背国家相关法律法规言论的；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.受到治安拘留或刑事处罚的。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  <w:t>六、考核结果运用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考核结果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通报辅导员本人，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考核结果与辅导员的工作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补贴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评先评奖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挂钩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  <w:t>七、考核申诉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辅导员对考核结果有异议时，可在考核结果公示之日起5日以内，可申请系（部）辅导员考核小组复议；复议后仍有异议，本人可写出书面意见，向学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辅导员考核工作领导小组提出申诉。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八、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  <w:t>本细则于颁布之日起实施，原《辅导员考核实施细则》及相关文件同时废止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本细则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  <w:t>由院学生工作处负责解释。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附件：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闽北职业技术学院辅导员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考核评分表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（系部）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闽北职业技术学院辅导员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</w:rPr>
        <w:t>考核评分表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  <w:lang w:eastAsia="zh-CN"/>
        </w:rPr>
        <w:t>（学工部门）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闽北职业技术学院辅导员工作考核登记表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</w:p>
    <w:p>
      <w:pP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</w:p>
    <w:p>
      <w:pP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</w:p>
    <w:p>
      <w:pPr>
        <w:spacing w:line="440" w:lineRule="exac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br w:type="page"/>
      </w:r>
    </w:p>
    <w:p>
      <w:pPr>
        <w:spacing w:line="440" w:lineRule="exac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  <w:t>1</w:t>
      </w:r>
    </w:p>
    <w:p>
      <w:pPr>
        <w:pStyle w:val="2"/>
        <w:rPr>
          <w:rFonts w:hint="default" w:ascii="Times New Roman" w:hAnsi="Times New Roman" w:cs="Times New Roman"/>
          <w:lang w:eastAsia="zh-CN"/>
        </w:rPr>
      </w:pPr>
    </w:p>
    <w:p>
      <w:pPr>
        <w:pStyle w:val="15"/>
        <w:spacing w:line="520" w:lineRule="exact"/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lang w:eastAsia="zh-CN"/>
        </w:rPr>
        <w:t>闽北职业技术学院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</w:rPr>
        <w:t>辅导员工作考核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lang w:eastAsia="zh-CN"/>
        </w:rPr>
        <w:t>评分表（系部）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      -     学年）</w:t>
      </w:r>
    </w:p>
    <w:p>
      <w:pPr>
        <w:pStyle w:val="15"/>
        <w:spacing w:line="440" w:lineRule="exact"/>
        <w:rPr>
          <w:rFonts w:hint="default" w:ascii="Times New Roman" w:hAnsi="Times New Roman" w:cs="Times New Roman"/>
          <w:b/>
          <w:color w:val="auto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color w:val="auto"/>
          <w:highlight w:val="none"/>
          <w:lang w:eastAsia="zh-CN"/>
        </w:rPr>
        <w:t>系部</w:t>
      </w:r>
      <w:r>
        <w:rPr>
          <w:rFonts w:hint="default" w:ascii="Times New Roman" w:hAnsi="Times New Roman" w:cs="Times New Roman"/>
          <w:b/>
          <w:color w:val="auto"/>
          <w:highlight w:val="none"/>
          <w:u w:val="single"/>
        </w:rPr>
        <w:t xml:space="preserve">                </w:t>
      </w:r>
      <w:r>
        <w:rPr>
          <w:rFonts w:hint="default" w:ascii="Times New Roman" w:hAnsi="Times New Roman" w:cs="Times New Roman"/>
          <w:b/>
          <w:color w:val="auto"/>
          <w:highlight w:val="none"/>
        </w:rPr>
        <w:t xml:space="preserve">      </w:t>
      </w:r>
      <w:r>
        <w:rPr>
          <w:rFonts w:hint="default" w:ascii="Times New Roman" w:hAnsi="Times New Roman" w:cs="Times New Roman"/>
          <w:b/>
          <w:color w:val="auto"/>
          <w:highlight w:val="none"/>
          <w:lang w:eastAsia="zh-CN"/>
        </w:rPr>
        <w:t>辅导员姓名</w:t>
      </w:r>
      <w:r>
        <w:rPr>
          <w:rFonts w:hint="default" w:ascii="Times New Roman" w:hAnsi="Times New Roman" w:cs="Times New Roman"/>
          <w:b/>
          <w:color w:val="auto"/>
          <w:highlight w:val="none"/>
          <w:u w:val="single"/>
        </w:rPr>
        <w:t xml:space="preserve">            </w:t>
      </w:r>
      <w:r>
        <w:rPr>
          <w:rFonts w:hint="default" w:ascii="Times New Roman" w:hAnsi="Times New Roman" w:cs="Times New Roman"/>
          <w:b/>
          <w:color w:val="auto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color w:val="auto"/>
          <w:highlight w:val="none"/>
          <w:lang w:val="en-US" w:eastAsia="zh-CN"/>
        </w:rPr>
        <w:t xml:space="preserve"> </w:t>
      </w:r>
    </w:p>
    <w:tbl>
      <w:tblPr>
        <w:tblStyle w:val="30"/>
        <w:tblW w:w="101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198"/>
        <w:gridCol w:w="6852"/>
        <w:gridCol w:w="659"/>
        <w:gridCol w:w="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  <w:lang w:val="en-US" w:eastAsia="zh-CN"/>
              </w:rPr>
              <w:t>所带专业班级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  <w:lang w:val="en-US" w:eastAsia="zh-CN"/>
              </w:rPr>
              <w:t>及相应人数</w:t>
            </w:r>
          </w:p>
        </w:tc>
        <w:tc>
          <w:tcPr>
            <w:tcW w:w="8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highlight w:val="none"/>
              </w:rPr>
              <w:t>一级指标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highlight w:val="none"/>
              </w:rPr>
              <w:t>二级指标</w:t>
            </w:r>
          </w:p>
        </w:tc>
        <w:tc>
          <w:tcPr>
            <w:tcW w:w="6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highlight w:val="none"/>
              </w:rPr>
              <w:t>评 估 标 准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highlight w:val="none"/>
              </w:rPr>
              <w:t>分值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highlight w:val="none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7" w:hRule="atLeast"/>
          <w:jc w:val="center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德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理论学习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与提高</w:t>
            </w:r>
          </w:p>
        </w:tc>
        <w:tc>
          <w:tcPr>
            <w:tcW w:w="6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重视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自身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理论学习，用毛泽东思想、邓小平理论和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三个代表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重要思想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、科学发展观、习近平新时代中国特色社会主义思想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武装头脑，关心时事政治，充分领会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党和国家、地方、学院对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加强和改进大学生思想政治教育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工作的有关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文件精神，与时俱进，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开展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思政教育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时有一定的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理论水平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；无故不参加党支部、系部组织的各类学习，每次扣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0.5分，扣完为止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 xml:space="preserve">。 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10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理想信念</w:t>
            </w:r>
          </w:p>
        </w:tc>
        <w:tc>
          <w:tcPr>
            <w:tcW w:w="6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有坚定的共产主义理想信念，引导学生树立远大的理想和目标，使学生立志成才，每学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有组织地指导学生进行理想信念教育不少于5次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；少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1次扣0.5分，扣完为止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。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5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个人道德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修养</w:t>
            </w:r>
          </w:p>
        </w:tc>
        <w:tc>
          <w:tcPr>
            <w:tcW w:w="6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个人遵纪守法，道德修养高，诚实守信，常修为师之德，以德服人，以高尚情操影响和带动学生，学生评价高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；个人如有违纪行为，不得分。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5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" w:hRule="atLeast"/>
          <w:jc w:val="center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能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工作方法</w:t>
            </w:r>
          </w:p>
        </w:tc>
        <w:tc>
          <w:tcPr>
            <w:tcW w:w="6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工作中发挥主观能动性，工作方法得当，预见性强，将“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立德树人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”贯穿到工作实践中，按照工作职责主动开展学生思想政治工作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；未出现工作失误，得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10分；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如因个人工作方式方法失误造成严重影响的，不得分。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10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" w:hRule="atLeast"/>
          <w:jc w:val="center"/>
        </w:trPr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工作责任心</w:t>
            </w:r>
          </w:p>
        </w:tc>
        <w:tc>
          <w:tcPr>
            <w:tcW w:w="6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工作责任心强，工作中体现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以生为本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的理念，熟悉服务对象的思想动态，及时排解和疏导学生中的思想心理障碍，对学生中的突发事件有详细的工作预案，及时有效地解决学生中出现的各种思想问题，工作中无缺位现象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；如未能及时有效解决学生的突发事件，每次扣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0.2分，扣完为止。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9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工作协同</w:t>
            </w:r>
          </w:p>
        </w:tc>
        <w:tc>
          <w:tcPr>
            <w:tcW w:w="6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与班级任课教师建立密切工作联系，及时化解学生与任课教师之间的矛盾，维护良好的师生关系。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服从工作安排</w:t>
            </w:r>
          </w:p>
        </w:tc>
        <w:tc>
          <w:tcPr>
            <w:tcW w:w="6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积极服从学院、系部党政的工作安排部署，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准时、规范、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无条件地保质保量完成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学工工作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任务；不服从工作安排、未完成工作任务的，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1次扣0.1分，扣完为止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。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创造性</w:t>
            </w:r>
          </w:p>
        </w:tc>
        <w:tc>
          <w:tcPr>
            <w:tcW w:w="6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勤于思考，创造性地组织学生开展丰富多彩的文体活动和科技创新活动，每学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自主开展有特色的活动不少于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次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；少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1次扣0.25分，扣完为止。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勤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遵守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日常工作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纪律</w:t>
            </w:r>
          </w:p>
        </w:tc>
        <w:tc>
          <w:tcPr>
            <w:tcW w:w="6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模范遵守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辅导员工作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纪律，经常深入学生中间与学生交流，每学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有计划的谈心不少于10次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；少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1次扣0.1分，扣完为止。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5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按时出勤</w:t>
            </w:r>
          </w:p>
        </w:tc>
        <w:tc>
          <w:tcPr>
            <w:tcW w:w="6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每周学生工作例会以及学工处组织的业务学习培训，无特殊情况不得缺勤；缺勤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1次扣0.2分，扣完为止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。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7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工作勤奋</w:t>
            </w:r>
          </w:p>
        </w:tc>
        <w:tc>
          <w:tcPr>
            <w:tcW w:w="6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状态积极，工作作风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勤奋，人到心到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。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绩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学生党团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组织建设</w:t>
            </w:r>
          </w:p>
        </w:tc>
        <w:tc>
          <w:tcPr>
            <w:tcW w:w="6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注重学生党团教育，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所服务的班级学生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团学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组织机构健全，运转正常，党团组织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学生干部的模范带头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发挥作用好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；所服务的班集体获评：市级先进得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10分，校级先进得9分，系部推优得8分。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10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制度建设</w:t>
            </w:r>
          </w:p>
        </w:tc>
        <w:tc>
          <w:tcPr>
            <w:tcW w:w="6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所服务的班级各项规章制度合理、完善，贯穿“以生为本”的理念，每学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年初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有详细的计划，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学年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末有总结，规章制度执行情况好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；如检查发现学年初计划、学年末总结应付了事，得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2分，没有则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不得分。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5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学风建设</w:t>
            </w:r>
          </w:p>
        </w:tc>
        <w:tc>
          <w:tcPr>
            <w:tcW w:w="6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所服务的学生学习风气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较好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，学习成绩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优良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，每学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年挂科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（补考）率低，学生遵守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校纪校规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，每学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学生缺旷率低，无重大恶性事故发生，毕业生就业率高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；如本人或所带学生发生重大恶性事故，不得分。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工作完成与反馈</w:t>
            </w:r>
          </w:p>
        </w:tc>
        <w:tc>
          <w:tcPr>
            <w:tcW w:w="6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按时保质保量完成学院和系部的学工工作任务（如学生推优、学生资助、就创服务、毕业生工作、新生报到、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军训工作、征兵工作、社会实践、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材料申报、工作信息反馈等）；未及时完成工作任务，每次扣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0.1分，扣完为止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。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  <w:jc w:val="center"/>
        </w:trPr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廉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廉洁自律</w:t>
            </w:r>
          </w:p>
        </w:tc>
        <w:tc>
          <w:tcPr>
            <w:tcW w:w="6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严格遵守党风廉政纪律，落实“一岗双责”，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为人正直、廉洁，不收受学生礼品、不牟私利、学生反映良好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；如有发现违反廉洁自律情况，不得分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。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5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特色</w:t>
            </w:r>
          </w:p>
        </w:tc>
        <w:tc>
          <w:tcPr>
            <w:tcW w:w="6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学生工作有特色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有亮点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；特色亮点及经验做法有总结提升，受校级（含）以上推广，得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5分；在本系推广，得3分；未被推广，得1分。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得分</w:t>
            </w:r>
          </w:p>
        </w:tc>
        <w:tc>
          <w:tcPr>
            <w:tcW w:w="8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系学生科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签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字</w:t>
            </w:r>
          </w:p>
        </w:tc>
        <w:tc>
          <w:tcPr>
            <w:tcW w:w="8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系党总支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签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章</w:t>
            </w:r>
          </w:p>
        </w:tc>
        <w:tc>
          <w:tcPr>
            <w:tcW w:w="8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</w:tbl>
    <w:p>
      <w:pPr>
        <w:wordWrap w:val="0"/>
        <w:snapToGrid w:val="0"/>
        <w:jc w:val="right"/>
        <w:rPr>
          <w:rFonts w:hint="default" w:ascii="Times New Roman" w:hAnsi="Times New Roman" w:cs="Times New Roman" w:eastAsiaTheme="minorEastAsia"/>
          <w:color w:val="auto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Cs w:val="21"/>
          <w:highlight w:val="none"/>
          <w:lang w:val="en-US" w:eastAsia="zh-CN"/>
        </w:rPr>
        <w:t xml:space="preserve"> </w:t>
      </w:r>
    </w:p>
    <w:p>
      <w:pPr>
        <w:wordWrap w:val="0"/>
        <w:snapToGrid w:val="0"/>
        <w:jc w:val="right"/>
        <w:rPr>
          <w:rFonts w:hint="default" w:ascii="Times New Roman" w:hAnsi="Times New Roman" w:eastAsia="仿宋_GB2312" w:cs="Times New Roman"/>
          <w:color w:val="auto"/>
          <w:sz w:val="18"/>
          <w:szCs w:val="1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 xml:space="preserve">评议时间：      年  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 xml:space="preserve">月  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 xml:space="preserve">日  </w:t>
      </w:r>
    </w:p>
    <w:p>
      <w:pPr>
        <w:snapToGrid w:val="0"/>
        <w:jc w:val="right"/>
        <w:rPr>
          <w:rFonts w:hint="default" w:ascii="Times New Roman" w:hAnsi="Times New Roman" w:cs="Times New Roman"/>
          <w:color w:val="auto"/>
          <w:sz w:val="18"/>
          <w:szCs w:val="1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18"/>
          <w:szCs w:val="18"/>
          <w:highlight w:val="none"/>
          <w:lang w:val="en-US" w:eastAsia="zh-CN"/>
        </w:rPr>
        <w:br w:type="page"/>
      </w:r>
    </w:p>
    <w:p>
      <w:pPr>
        <w:spacing w:line="440" w:lineRule="exac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  <w:t>2</w:t>
      </w:r>
    </w:p>
    <w:p>
      <w:pPr>
        <w:pStyle w:val="15"/>
        <w:spacing w:line="520" w:lineRule="exact"/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lang w:eastAsia="zh-CN"/>
        </w:rPr>
        <w:t>闽北职业技术学院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</w:rPr>
        <w:t>辅导员工作考核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lang w:eastAsia="zh-CN"/>
        </w:rPr>
        <w:t>评分表</w:t>
      </w:r>
      <w:r>
        <w:rPr>
          <w:rFonts w:hint="default" w:ascii="Times New Roman" w:hAnsi="Times New Roman" w:eastAsia="方正小标宋简体" w:cs="Times New Roman"/>
          <w:color w:val="auto"/>
          <w:w w:val="80"/>
          <w:sz w:val="40"/>
          <w:szCs w:val="40"/>
          <w:highlight w:val="none"/>
          <w:lang w:eastAsia="zh-CN"/>
        </w:rPr>
        <w:t>（学工部门）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      -     学年）</w:t>
      </w:r>
    </w:p>
    <w:p>
      <w:pPr>
        <w:pStyle w:val="15"/>
        <w:spacing w:line="440" w:lineRule="exact"/>
        <w:rPr>
          <w:rFonts w:hint="default" w:ascii="Times New Roman" w:hAnsi="Times New Roman" w:cs="Times New Roman"/>
          <w:b/>
          <w:color w:val="auto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color w:val="auto"/>
          <w:highlight w:val="none"/>
          <w:lang w:eastAsia="zh-CN"/>
        </w:rPr>
        <w:t>系部</w:t>
      </w:r>
      <w:r>
        <w:rPr>
          <w:rFonts w:hint="default" w:ascii="Times New Roman" w:hAnsi="Times New Roman" w:cs="Times New Roman"/>
          <w:b/>
          <w:color w:val="auto"/>
          <w:highlight w:val="none"/>
          <w:u w:val="single"/>
        </w:rPr>
        <w:t xml:space="preserve">                </w:t>
      </w:r>
      <w:r>
        <w:rPr>
          <w:rFonts w:hint="default" w:ascii="Times New Roman" w:hAnsi="Times New Roman" w:cs="Times New Roman"/>
          <w:b/>
          <w:color w:val="auto"/>
          <w:highlight w:val="none"/>
        </w:rPr>
        <w:t xml:space="preserve">      </w:t>
      </w:r>
      <w:r>
        <w:rPr>
          <w:rFonts w:hint="default" w:ascii="Times New Roman" w:hAnsi="Times New Roman" w:cs="Times New Roman"/>
          <w:b/>
          <w:color w:val="auto"/>
          <w:highlight w:val="none"/>
          <w:lang w:eastAsia="zh-CN"/>
        </w:rPr>
        <w:t>辅导员姓名</w:t>
      </w:r>
      <w:r>
        <w:rPr>
          <w:rFonts w:hint="default" w:ascii="Times New Roman" w:hAnsi="Times New Roman" w:cs="Times New Roman"/>
          <w:b/>
          <w:color w:val="auto"/>
          <w:highlight w:val="none"/>
          <w:u w:val="none"/>
        </w:rPr>
        <w:t xml:space="preserve">                </w:t>
      </w:r>
      <w:r>
        <w:rPr>
          <w:rFonts w:hint="default" w:ascii="Times New Roman" w:hAnsi="Times New Roman" w:cs="Times New Roman"/>
          <w:b/>
          <w:color w:val="auto"/>
          <w:highlight w:val="none"/>
          <w:u w:val="single"/>
        </w:rPr>
        <w:t xml:space="preserve">            </w:t>
      </w:r>
      <w:r>
        <w:rPr>
          <w:rFonts w:hint="default" w:ascii="Times New Roman" w:hAnsi="Times New Roman" w:cs="Times New Roman"/>
          <w:b/>
          <w:color w:val="auto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color w:val="auto"/>
          <w:highlight w:val="none"/>
          <w:lang w:val="en-US" w:eastAsia="zh-CN"/>
        </w:rPr>
        <w:t xml:space="preserve"> </w:t>
      </w:r>
    </w:p>
    <w:tbl>
      <w:tblPr>
        <w:tblStyle w:val="30"/>
        <w:tblW w:w="9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235"/>
        <w:gridCol w:w="9"/>
        <w:gridCol w:w="714"/>
        <w:gridCol w:w="1180"/>
        <w:gridCol w:w="1155"/>
        <w:gridCol w:w="318"/>
        <w:gridCol w:w="690"/>
        <w:gridCol w:w="42"/>
        <w:gridCol w:w="725"/>
        <w:gridCol w:w="767"/>
        <w:gridCol w:w="83"/>
        <w:gridCol w:w="684"/>
        <w:gridCol w:w="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  <w:lang w:val="en-US" w:eastAsia="zh-CN"/>
              </w:rPr>
              <w:t>所带专业班级及 相应人数</w:t>
            </w:r>
          </w:p>
        </w:tc>
        <w:tc>
          <w:tcPr>
            <w:tcW w:w="73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9296" w:type="dxa"/>
            <w:gridSpan w:val="1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  <w:highlight w:val="none"/>
              </w:rPr>
              <w:t>第一部分 完成工作任务情况得分（共60分）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219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  <w:highlight w:val="none"/>
              </w:rPr>
              <w:t>项   目</w:t>
            </w:r>
          </w:p>
        </w:tc>
        <w:tc>
          <w:tcPr>
            <w:tcW w:w="71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  <w:highlight w:val="none"/>
              </w:rPr>
              <w:t>分值</w:t>
            </w:r>
          </w:p>
        </w:tc>
        <w:tc>
          <w:tcPr>
            <w:tcW w:w="4960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  <w:highlight w:val="none"/>
              </w:rPr>
              <w:t>评分等级</w:t>
            </w:r>
          </w:p>
        </w:tc>
        <w:tc>
          <w:tcPr>
            <w:tcW w:w="143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  <w:highlight w:val="none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9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思想政治教育工作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与意识形态工作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分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优秀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（11-12）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良好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（8-10）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合格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（5-7）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不合格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（0-1）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19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w w:val="100"/>
                <w:sz w:val="21"/>
                <w:szCs w:val="21"/>
                <w:highlight w:val="none"/>
                <w:shd w:val="clear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党团组织建设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6分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优秀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（6）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良好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（4-5）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合格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（3）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不合格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（0）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19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开展学风建设与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w w:val="100"/>
                <w:sz w:val="21"/>
                <w:szCs w:val="21"/>
                <w:highlight w:val="none"/>
                <w:shd w:val="clear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纪律监督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分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优秀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（6）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良好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（4-5）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合格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（3）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不合格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（0）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19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开展心理健康与道德品质教育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6分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优秀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（6）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良好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（4-5）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合格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（3）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不合格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（0）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19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开展资助工作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6分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优秀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（6）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良好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（4-5）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合格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（3）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不合格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（0）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19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开展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创业、就业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工作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分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优秀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（6）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良好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（4-5）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合格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（3）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不合格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（0）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19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日常管理与服务工作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6分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优秀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（6）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良好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（4-5）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合格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（3）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不合格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（0）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19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安全教育与稳定工作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6分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优秀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（6）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良好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（4-5）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合格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（3）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不合格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（0）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19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征兵工作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分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优秀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（6）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良好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（4-5）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合格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（3）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不合格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（0）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19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社会实践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分</w:t>
            </w:r>
          </w:p>
        </w:tc>
        <w:tc>
          <w:tcPr>
            <w:tcW w:w="2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优良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）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合格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）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不合格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w w:val="100"/>
                <w:sz w:val="21"/>
                <w:szCs w:val="21"/>
                <w:highlight w:val="none"/>
                <w:shd w:val="cle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（0）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906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  <w:highlight w:val="none"/>
              </w:rPr>
              <w:t>得    分</w:t>
            </w:r>
          </w:p>
        </w:tc>
        <w:tc>
          <w:tcPr>
            <w:tcW w:w="639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296" w:type="dxa"/>
            <w:gridSpan w:val="1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4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</w:rPr>
              <w:t>第二部分 执行辅导员工作制度情况评分（共30分）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9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</w:rPr>
              <w:t>项 目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</w:rPr>
              <w:t>分值</w:t>
            </w:r>
          </w:p>
        </w:tc>
        <w:tc>
          <w:tcPr>
            <w:tcW w:w="49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</w:rPr>
              <w:t>评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  <w:lang w:eastAsia="zh-CN"/>
              </w:rPr>
              <w:t>分标准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9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执行班会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  <w:t>课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制情况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49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主题班会每月召开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1次；按时召开且材料齐全，得10分；按时召开但材料粗糙，得6分；未按时召开不得分，每少1次扣2分，扣完为止。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19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执行谈心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  <w:t>谈话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制情况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49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谈心谈话需做好记录备查，每周不少于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2人次；少1人次扣0.5，扣完为止。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19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执行走访宿舍制情况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49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走访宿舍每周不少于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1次；少1次扣0.5，扣完为止。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06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</w:rPr>
              <w:t>得  分</w:t>
            </w:r>
          </w:p>
        </w:tc>
        <w:tc>
          <w:tcPr>
            <w:tcW w:w="639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96" w:type="dxa"/>
            <w:gridSpan w:val="1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</w:rPr>
              <w:t>第三部分 综合能力评议得分（共10分）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183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</w:rPr>
              <w:t>项 目</w:t>
            </w:r>
          </w:p>
        </w:tc>
        <w:tc>
          <w:tcPr>
            <w:tcW w:w="337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</w:rPr>
              <w:t>参考标准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</w:rPr>
              <w:t>分值</w:t>
            </w:r>
          </w:p>
        </w:tc>
        <w:tc>
          <w:tcPr>
            <w:tcW w:w="23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</w:rPr>
              <w:t>评分等级</w:t>
            </w:r>
          </w:p>
        </w:tc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83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7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</w:rPr>
              <w:t>优秀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</w:rPr>
              <w:t>合格</w:t>
            </w: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w w:val="9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w w:val="80"/>
                <w:kern w:val="0"/>
                <w:szCs w:val="21"/>
                <w:highlight w:val="none"/>
              </w:rPr>
              <w:t>不合格</w:t>
            </w:r>
          </w:p>
        </w:tc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18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组织协调与执行能力</w:t>
            </w:r>
          </w:p>
        </w:tc>
        <w:tc>
          <w:tcPr>
            <w:tcW w:w="33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是否具备较好的贯彻决心和执行力，把学院发展放在首位，坚决落实工作；是否具备较好的组织协调能力，整合资源，推动工作顺利开展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0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218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团队协作与沟通能力</w:t>
            </w:r>
          </w:p>
        </w:tc>
        <w:tc>
          <w:tcPr>
            <w:tcW w:w="33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是否具备必要的团队合作能力，顾全大局，服从分配，具备良好的沟通技巧，善于倾听和表达，建立良性的团队关系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0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18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危机管理能力</w:t>
            </w:r>
          </w:p>
        </w:tc>
        <w:tc>
          <w:tcPr>
            <w:tcW w:w="33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是否具备危机预见能力，采取针对性措施，化解潜在问题；面对危机或突发情况时，能否保持冷静沉着，采取可能措施，合理有效地消除危机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0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18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工作总结交流能力</w:t>
            </w:r>
          </w:p>
        </w:tc>
        <w:tc>
          <w:tcPr>
            <w:tcW w:w="33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是否及时总结工作，查找不足；能否经常性与其他辅导员交流工作经验，互相学习。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0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18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科研与创新能力</w:t>
            </w:r>
          </w:p>
        </w:tc>
        <w:tc>
          <w:tcPr>
            <w:tcW w:w="33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能否积极开展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  <w:t>学术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科研、调查研究等工作，形成相应成果；能否积极探索学生工作的新思路、新方法，提出合理化建议，创造性地开展工作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—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0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5559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</w:rPr>
              <w:t>得  分</w:t>
            </w:r>
          </w:p>
        </w:tc>
        <w:tc>
          <w:tcPr>
            <w:tcW w:w="37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  <w:jc w:val="center"/>
        </w:trPr>
        <w:tc>
          <w:tcPr>
            <w:tcW w:w="9296" w:type="dxa"/>
            <w:gridSpan w:val="1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315" w:firstLineChars="150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ind w:firstLine="316" w:firstLineChars="150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  <w:lang w:eastAsia="zh-CN"/>
              </w:rPr>
              <w:t>以上三项总计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</w:rPr>
              <w:t>得分：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分</w:t>
            </w:r>
          </w:p>
          <w:p>
            <w:pPr>
              <w:wordWrap w:val="0"/>
              <w:jc w:val="righ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 xml:space="preserve"> </w:t>
            </w:r>
          </w:p>
          <w:p>
            <w:pPr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  <w:t>学工处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考核小组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  <w:t>成员签字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                         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 xml:space="preserve"> 年    月    日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  <w:t>学工处处长签字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u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年    月    日</w:t>
            </w:r>
          </w:p>
          <w:p>
            <w:pPr>
              <w:jc w:val="righ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</w:p>
        </w:tc>
      </w:tr>
    </w:tbl>
    <w:p>
      <w:pPr>
        <w:spacing w:line="260" w:lineRule="exact"/>
        <w:rPr>
          <w:rFonts w:hint="default" w:ascii="Times New Roman" w:hAnsi="Times New Roman" w:eastAsia="仿宋_GB2312" w:cs="Times New Roman"/>
          <w:b/>
          <w:color w:val="auto"/>
          <w:sz w:val="18"/>
          <w:szCs w:val="18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18"/>
          <w:szCs w:val="18"/>
          <w:highlight w:val="none"/>
        </w:rPr>
        <w:t>说明：</w:t>
      </w:r>
      <w:r>
        <w:rPr>
          <w:rFonts w:hint="default" w:ascii="Times New Roman" w:hAnsi="Times New Roman" w:eastAsia="仿宋_GB2312" w:cs="Times New Roman"/>
          <w:color w:val="auto"/>
          <w:sz w:val="18"/>
          <w:szCs w:val="18"/>
          <w:highlight w:val="none"/>
        </w:rPr>
        <w:t>学工部门评议由完成工作任务情况得分（60分）、执行辅导员工作制度情况评分（30分）、综合能力量表得分三部分组成（10分），合计100分。总得分由院</w:t>
      </w:r>
      <w:r>
        <w:rPr>
          <w:rFonts w:hint="default" w:ascii="Times New Roman" w:hAnsi="Times New Roman" w:eastAsia="仿宋_GB2312" w:cs="Times New Roman"/>
          <w:color w:val="auto"/>
          <w:sz w:val="18"/>
          <w:szCs w:val="18"/>
          <w:highlight w:val="none"/>
          <w:lang w:eastAsia="zh-CN"/>
        </w:rPr>
        <w:t>学工处</w:t>
      </w:r>
      <w:r>
        <w:rPr>
          <w:rFonts w:hint="default" w:ascii="Times New Roman" w:hAnsi="Times New Roman" w:eastAsia="仿宋_GB2312" w:cs="Times New Roman"/>
          <w:color w:val="auto"/>
          <w:sz w:val="18"/>
          <w:szCs w:val="18"/>
          <w:highlight w:val="none"/>
        </w:rPr>
        <w:t>指定专人负责统计</w:t>
      </w:r>
      <w:r>
        <w:rPr>
          <w:rFonts w:hint="default" w:ascii="Times New Roman" w:hAnsi="Times New Roman" w:eastAsia="仿宋_GB2312" w:cs="Times New Roman"/>
          <w:b/>
          <w:color w:val="auto"/>
          <w:sz w:val="18"/>
          <w:szCs w:val="18"/>
          <w:highlight w:val="none"/>
        </w:rPr>
        <w:t>。</w:t>
      </w:r>
    </w:p>
    <w:p>
      <w:pPr>
        <w:spacing w:line="260" w:lineRule="exact"/>
        <w:rPr>
          <w:rFonts w:hint="default" w:ascii="Times New Roman" w:hAnsi="Times New Roman" w:eastAsia="仿宋_GB2312" w:cs="Times New Roman"/>
          <w:b/>
          <w:color w:val="auto"/>
          <w:sz w:val="18"/>
          <w:szCs w:val="18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18"/>
          <w:szCs w:val="18"/>
          <w:highlight w:val="none"/>
        </w:rPr>
        <w:br w:type="page"/>
      </w:r>
    </w:p>
    <w:p>
      <w:pPr>
        <w:spacing w:line="440" w:lineRule="exact"/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  <w:t>3</w:t>
      </w:r>
    </w:p>
    <w:p>
      <w:pPr>
        <w:pStyle w:val="15"/>
        <w:spacing w:line="520" w:lineRule="exact"/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lang w:eastAsia="zh-CN"/>
        </w:rPr>
        <w:t>闽北职业技术学院辅导员工作考核登记表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color w:val="auto"/>
          <w:sz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      -     学年）</w:t>
      </w:r>
    </w:p>
    <w:tbl>
      <w:tblPr>
        <w:tblStyle w:val="30"/>
        <w:tblW w:w="987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3"/>
        <w:gridCol w:w="1183"/>
        <w:gridCol w:w="57"/>
        <w:gridCol w:w="694"/>
        <w:gridCol w:w="624"/>
        <w:gridCol w:w="988"/>
        <w:gridCol w:w="423"/>
        <w:gridCol w:w="1258"/>
        <w:gridCol w:w="98"/>
        <w:gridCol w:w="1436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 xml:space="preserve">姓  名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</w:rPr>
              <w:t xml:space="preserve">                </w:t>
            </w:r>
          </w:p>
        </w:tc>
        <w:tc>
          <w:tcPr>
            <w:tcW w:w="1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性  别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民  族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学历学位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eastAsia="zh-CN"/>
              </w:rPr>
              <w:t>任职时间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90"/>
                <w:sz w:val="24"/>
                <w:highlight w:val="none"/>
                <w:lang w:eastAsia="zh-CN"/>
              </w:rPr>
              <w:t>(仅填本学年任职时间)</w:t>
            </w:r>
          </w:p>
        </w:tc>
        <w:tc>
          <w:tcPr>
            <w:tcW w:w="55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 xml:space="preserve">  年    月——      年    月</w:t>
            </w:r>
          </w:p>
        </w:tc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所带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eastAsia="zh-CN"/>
              </w:rPr>
              <w:t>班级</w:t>
            </w:r>
          </w:p>
        </w:tc>
        <w:tc>
          <w:tcPr>
            <w:tcW w:w="35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21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eastAsia="zh-CN"/>
              </w:rPr>
              <w:t>所带班级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学生数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5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21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5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21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5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21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5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21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5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21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8" w:hRule="atLeast"/>
          <w:jc w:val="center"/>
        </w:trPr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eastAsia="zh-CN"/>
              </w:rPr>
              <w:t>本学年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eastAsia="zh-CN"/>
              </w:rPr>
              <w:t>个人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eastAsia="zh-CN"/>
              </w:rPr>
              <w:t>工作总结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ind w:firstLine="240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（可另附纸）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eastAsia="zh-CN"/>
              </w:rPr>
              <w:t>本学年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个人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获奖情况</w:t>
            </w:r>
          </w:p>
        </w:tc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eastAsia="zh-CN"/>
              </w:rPr>
              <w:t>本学年所带班级、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eastAsia="zh-CN"/>
              </w:rPr>
              <w:t>宿舍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获奖情况</w:t>
            </w:r>
          </w:p>
        </w:tc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eastAsia="zh-CN"/>
              </w:rPr>
              <w:t>本学年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eastAsia="zh-CN"/>
              </w:rPr>
              <w:t>班级开展活动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情况</w:t>
            </w:r>
          </w:p>
        </w:tc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eastAsia="zh-CN"/>
              </w:rPr>
              <w:t>本学年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eastAsia="zh-CN"/>
              </w:rPr>
              <w:t>个人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参训和学习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情况</w:t>
            </w:r>
          </w:p>
        </w:tc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eastAsia="zh-CN"/>
              </w:rPr>
              <w:t>本学年个人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科研情况（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eastAsia="zh-CN"/>
              </w:rPr>
              <w:t>包括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参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课题、出版专著或发表论文情况）</w:t>
            </w:r>
          </w:p>
        </w:tc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32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eastAsia="zh-CN"/>
              </w:rPr>
              <w:t>系部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评议得分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0%）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6"/>
                <w:szCs w:val="16"/>
                <w:highlight w:val="none"/>
                <w:lang w:eastAsia="zh-CN"/>
              </w:rPr>
              <w:t>（各系先行汇总）</w:t>
            </w:r>
          </w:p>
        </w:tc>
        <w:tc>
          <w:tcPr>
            <w:tcW w:w="3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学院评议得分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0%）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6"/>
                <w:szCs w:val="16"/>
                <w:highlight w:val="none"/>
                <w:lang w:eastAsia="zh-CN"/>
              </w:rPr>
              <w:t>（学工处评议会上汇总）</w:t>
            </w:r>
          </w:p>
        </w:tc>
        <w:tc>
          <w:tcPr>
            <w:tcW w:w="3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综合评议得分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2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2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eastAsia="zh-CN"/>
              </w:rPr>
              <w:t>考核结论</w:t>
            </w:r>
          </w:p>
        </w:tc>
        <w:tc>
          <w:tcPr>
            <w:tcW w:w="73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30"/>
                <w:highlight w:val="none"/>
                <w:lang w:eastAsia="zh-CN"/>
              </w:rPr>
              <w:t>　　辅导员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30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30"/>
                <w:highlight w:val="none"/>
                <w:lang w:val="en-US" w:eastAsia="zh-CN"/>
              </w:rPr>
              <w:t>考核结论为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30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30"/>
                <w:highlight w:val="none"/>
                <w:lang w:val="en-US" w:eastAsia="zh-CN"/>
              </w:rPr>
              <w:t>。</w:t>
            </w:r>
          </w:p>
          <w:p>
            <w:pPr>
              <w:wordWrap w:val="0"/>
              <w:ind w:firstLine="1200" w:firstLineChars="400"/>
              <w:jc w:val="both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30"/>
                <w:highlight w:val="none"/>
                <w:lang w:eastAsia="zh-CN"/>
              </w:rPr>
              <w:t>学工处盖章：          年    月    日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30"/>
                <w:highlight w:val="none"/>
                <w:lang w:val="en-US" w:eastAsia="zh-CN"/>
              </w:rPr>
              <w:t xml:space="preserve"> </w:t>
            </w:r>
          </w:p>
        </w:tc>
      </w:tr>
    </w:tbl>
    <w:p>
      <w:pPr>
        <w:jc w:val="left"/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highlight w:val="none"/>
          <w:lang w:eastAsia="zh-CN"/>
        </w:rPr>
      </w:pPr>
    </w:p>
    <w:p>
      <w:pPr>
        <w:jc w:val="left"/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highlight w:val="none"/>
          <w:lang w:eastAsia="zh-CN"/>
        </w:rPr>
        <w:t>注：考核等级分为：优秀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highlight w:val="none"/>
          <w:lang w:val="en-US" w:eastAsia="zh-CN"/>
        </w:rPr>
        <w:t>（综合评议得分为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highlight w:val="none"/>
          <w:lang w:eastAsia="zh-CN"/>
        </w:rPr>
        <w:t>85分以上）、良好（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highlight w:val="none"/>
          <w:lang w:val="en-US" w:eastAsia="zh-CN"/>
        </w:rPr>
        <w:t>综合评议得分为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highlight w:val="none"/>
          <w:lang w:eastAsia="zh-CN"/>
        </w:rPr>
        <w:t>75-85分）、合格（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highlight w:val="none"/>
          <w:lang w:val="en-US" w:eastAsia="zh-CN"/>
        </w:rPr>
        <w:t>综合评议得分为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highlight w:val="none"/>
          <w:lang w:eastAsia="zh-CN"/>
        </w:rPr>
        <w:t>60-75分）、不合格（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highlight w:val="none"/>
          <w:lang w:val="en-US" w:eastAsia="zh-CN"/>
        </w:rPr>
        <w:t>综合评议得分为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highlight w:val="none"/>
          <w:lang w:eastAsia="zh-CN"/>
        </w:rPr>
        <w:t>60分以下）四个等级。</w:t>
      </w:r>
    </w:p>
    <w:p>
      <w:pPr>
        <w:jc w:val="left"/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highlight w:val="none"/>
          <w:lang w:eastAsia="zh-CN"/>
        </w:rPr>
      </w:pPr>
    </w:p>
    <w:p>
      <w:pPr>
        <w:jc w:val="left"/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highlight w:val="none"/>
          <w:lang w:eastAsia="zh-CN"/>
        </w:rPr>
      </w:pPr>
    </w:p>
    <w:p>
      <w:pPr>
        <w:jc w:val="left"/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highlight w:val="none"/>
          <w:lang w:eastAsia="zh-CN"/>
        </w:rPr>
      </w:pPr>
    </w:p>
    <w:p>
      <w:pPr>
        <w:jc w:val="left"/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highlight w:val="none"/>
          <w:lang w:eastAsia="zh-CN"/>
        </w:rPr>
      </w:pPr>
    </w:p>
    <w:p>
      <w:pPr>
        <w:jc w:val="left"/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highlight w:val="none"/>
          <w:lang w:eastAsia="zh-CN"/>
        </w:rPr>
      </w:pPr>
    </w:p>
    <w:p>
      <w:pPr>
        <w:jc w:val="left"/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highlight w:val="none"/>
          <w:lang w:eastAsia="zh-CN"/>
        </w:rPr>
      </w:pPr>
    </w:p>
    <w:p>
      <w:pPr>
        <w:jc w:val="left"/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highlight w:val="none"/>
          <w:lang w:eastAsia="zh-CN"/>
        </w:rPr>
      </w:pPr>
    </w:p>
    <w:p>
      <w:pPr>
        <w:jc w:val="left"/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highlight w:val="none"/>
          <w:lang w:eastAsia="zh-CN"/>
        </w:rPr>
      </w:pPr>
    </w:p>
    <w:p>
      <w:pPr>
        <w:jc w:val="left"/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highlight w:val="none"/>
          <w:lang w:eastAsia="zh-CN"/>
        </w:rPr>
      </w:pPr>
    </w:p>
    <w:p>
      <w:pPr>
        <w:jc w:val="left"/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highlight w:val="none"/>
          <w:lang w:eastAsia="zh-CN"/>
        </w:rPr>
      </w:pPr>
    </w:p>
    <w:p>
      <w:pPr>
        <w:jc w:val="left"/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highlight w:val="none"/>
          <w:lang w:eastAsia="zh-CN"/>
        </w:rPr>
      </w:pPr>
    </w:p>
    <w:p>
      <w:pPr>
        <w:jc w:val="left"/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highlight w:val="none"/>
          <w:lang w:eastAsia="zh-CN"/>
        </w:rPr>
      </w:pPr>
    </w:p>
    <w:p>
      <w:pPr>
        <w:jc w:val="left"/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highlight w:val="none"/>
          <w:lang w:eastAsia="zh-CN"/>
        </w:rPr>
      </w:pPr>
    </w:p>
    <w:p>
      <w:pPr>
        <w:jc w:val="left"/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highlight w:val="none"/>
          <w:lang w:eastAsia="zh-CN"/>
        </w:rPr>
      </w:pPr>
    </w:p>
    <w:p>
      <w:pPr>
        <w:jc w:val="left"/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highlight w:val="none"/>
          <w:lang w:eastAsia="zh-CN"/>
        </w:rPr>
      </w:pPr>
    </w:p>
    <w:p>
      <w:pPr>
        <w:jc w:val="left"/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highlight w:val="none"/>
          <w:lang w:eastAsia="zh-CN"/>
        </w:rPr>
      </w:pPr>
    </w:p>
    <w:p>
      <w:pPr>
        <w:jc w:val="left"/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highlight w:val="none"/>
          <w:lang w:eastAsia="zh-CN"/>
        </w:rPr>
      </w:pPr>
    </w:p>
    <w:p>
      <w:pPr>
        <w:jc w:val="left"/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highlight w:val="none"/>
          <w:lang w:eastAsia="zh-CN"/>
        </w:rPr>
      </w:pPr>
    </w:p>
    <w:p>
      <w:pPr>
        <w:jc w:val="left"/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highlight w:val="none"/>
          <w:lang w:eastAsia="zh-CN"/>
        </w:rPr>
      </w:pPr>
    </w:p>
    <w:p>
      <w:pPr>
        <w:jc w:val="left"/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highlight w:val="none"/>
          <w:lang w:eastAsia="zh-CN"/>
        </w:rPr>
      </w:pPr>
    </w:p>
    <w:p>
      <w:pPr>
        <w:jc w:val="left"/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highlight w:val="none"/>
          <w:lang w:eastAsia="zh-CN"/>
        </w:rPr>
      </w:pPr>
    </w:p>
    <w:p>
      <w:pPr>
        <w:jc w:val="left"/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highlight w:val="none"/>
          <w:lang w:eastAsia="zh-CN"/>
        </w:rPr>
      </w:pPr>
    </w:p>
    <w:p>
      <w:pPr>
        <w:jc w:val="left"/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highlight w:val="none"/>
          <w:lang w:eastAsia="zh-CN"/>
        </w:rPr>
      </w:pPr>
    </w:p>
    <w:p>
      <w:pPr>
        <w:jc w:val="left"/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highlight w:val="none"/>
          <w:lang w:eastAsia="zh-CN"/>
        </w:rPr>
      </w:pPr>
    </w:p>
    <w:p>
      <w:pPr>
        <w:jc w:val="left"/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highlight w:val="none"/>
          <w:lang w:eastAsia="zh-CN"/>
        </w:rPr>
      </w:pPr>
    </w:p>
    <w:p>
      <w:pPr>
        <w:jc w:val="left"/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highlight w:val="none"/>
          <w:lang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highlight w:val="none"/>
          <w:lang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highlight w:val="none"/>
          <w:lang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highlight w:val="none"/>
          <w:lang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highlight w:val="none"/>
          <w:lang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highlight w:val="none"/>
          <w:lang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highlight w:val="none"/>
          <w:lang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highlight w:val="none"/>
          <w:lang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highlight w:val="none"/>
          <w:lang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highlight w:val="none"/>
          <w:lang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highlight w:val="none"/>
          <w:lang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highlight w:val="none"/>
          <w:lang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highlight w:val="none"/>
          <w:lang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highlight w:val="none"/>
          <w:lang w:eastAsia="zh-CN"/>
        </w:rPr>
      </w:pPr>
    </w:p>
    <w:p>
      <w:pPr>
        <w:jc w:val="left"/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default" w:ascii="Times New Roman" w:hAnsi="Times New Roman" w:eastAsia="Times New Roman" w:cs="Times New Roman"/>
          <w:color w:val="auto"/>
          <w:position w:val="0"/>
          <w:sz w:val="21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53975</wp:posOffset>
                </wp:positionV>
                <wp:extent cx="605790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7.8pt;margin-top:4.25pt;height:0pt;width:477pt;z-index:251660288;mso-width-relative:page;mso-height-relative:page;" filled="f" stroked="t" coordsize="21600,21600" o:gfxdata="UEsDBAoAAAAAAIdO4kAAAAAAAAAAAAAAAAAEAAAAZHJzL1BLAwQUAAAACACHTuJA8R5gVdUAAAAH&#10;AQAADwAAAGRycy9kb3ducmV2LnhtbE2OTU/DMBBE70j9D9YicalaOy2tQojTQyE3LrQgrtt4SSLi&#10;dRq7H/DrMb3Q42hGb16+OttOHGnwrWMNyVSBIK6cabnW8LYtJykIH5ANdo5Jwzd5WBWjmxwz4078&#10;SsdNqEWEsM9QQxNCn0npq4Ys+qnriWP36QaLIcahlmbAU4TbTs6UWkqLLceHBntaN1R9bQ5Wgy/f&#10;aV/+jKux+pjXjmb7p5dn1PruNlGPIAKdw/8Y/vSjOhTRaecObLzoNEzmi2WcakgXIGL/kKT3IHaX&#10;LItcXvsXv1BLAwQUAAAACACHTuJAY2THS98BAACkAwAADgAAAGRycy9lMm9Eb2MueG1srVPNjtMw&#10;EL4j8Q6W7zRppW7ZqOketiwXBJWAB5jaTmLJf/J4m/YleAEkbnDiyJ23YXkMxm63LHBBiBycsWfm&#10;83xfviyv9tawnYqovWv5dFJzppzwUru+5W/f3Dx5yhkmcBKMd6rlB4X8avX40XIMjZr5wRupIiMQ&#10;h80YWj6kFJqqQjEoCzjxQTlKdj5aSLSNfSUjjIRuTTWr64tq9FGG6IVCpNP1MclXBb/rlEivug5V&#10;YqblNFsqayzrNq/VaglNHyEMWpzGgH+YwoJ2dOkZag0J2G3Uf0BZLaJH36WJ8LbyXaeFKhyIzbT+&#10;jc3rAYIqXEgcDGeZ8P/Bipe7TWRatnzBmQNLn+ju/Zdv7z5+//qB1rvPn9giizQGbKj22m3iaYdh&#10;EzPjfRdtfhMXti/CHs7Cqn1igg4v6vnisib9xX2u+tkYIqbnyluWg5Yb7TJnaGD3AhNdRqX3JfnY&#10;ODa2/HI+mxMckGU6A4lCG4gEur70ojda3mhjcgfGfnttIttBNkF5MiXC/aUsX7IGHI51JXW0x6BA&#10;PnOSpUMgeRz5mOcRrJKcGUW2zxEBQpNAm7+ppKuNyw2qWPTEM2t8VDVHWy8P9GluQ9T9QLpMy8w5&#10;Q1Yo059sm732cE/xw59r9Q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xHmBV1QAAAAcBAAAPAAAA&#10;AAAAAAEAIAAAACIAAABkcnMvZG93bnJldi54bWxQSwECFAAUAAAACACHTuJAY2THS98BAACkAwAA&#10;DgAAAAAAAAABACAAAAAk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闽北职业技术学院党政办公室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386080</wp:posOffset>
                </wp:positionV>
                <wp:extent cx="605790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pt;margin-top:30.4pt;height:0pt;width:477pt;z-index:251661312;mso-width-relative:page;mso-height-relative:page;" filled="f" stroked="t" coordsize="21600,21600" o:gfxdata="UEsDBAoAAAAAAIdO4kAAAAAAAAAAAAAAAAAEAAAAZHJzL1BLAwQUAAAACACHTuJAhXxSANYAAAAJ&#10;AQAADwAAAGRycy9kb3ducmV2LnhtbE2PzU7DMBCE70i8g7VIXKrWTitFJcTpAciNCwXEdRsvSUS8&#10;TmP3B56eRRzguLOjmfnKzdkP6khT7ANbyBYGFHETXM+thZfner4GFROywyEwWfikCJvq8qLEwoUT&#10;P9Fxm1olIRwLtNClNBZax6Yjj3ERRmL5vYfJY5JzarWb8CThftBLY3LtsWdp6HCku46aj+3BW4j1&#10;K+3rr1kzM2+rNtByf//4gNZeX2XmFlSic/ozw898mQ6VbNqFA7uoBgvzVS4syUJuBEEMN9lahN2v&#10;oKtS/yeovgFQSwMEFAAAAAgAh07iQBNREoTfAQAApAMAAA4AAABkcnMvZTJvRG9jLnhtbK1TzW4T&#10;MRC+I/EOlu9kN5FS2lU2PTSUC4JIwANMbO+uJf/J42aTl+AFkLjBiSN33obyGIydNLTlghA5OGPP&#10;zOf5Pn+7uNxZw7Yqovau5dNJzZlywkvt+pa/f3f97JwzTOAkGO9Uy/cK+eXy6ZPFGBo184M3UkVG&#10;IA6bMbR8SCk0VYViUBZw4oNylOx8tJBoG/tKRhgJ3ZpqVtdn1eijDNELhUinq0OSLwt+1ymR3nQd&#10;qsRMy2m2VNZY1k1eq+UCmj5CGLQ4jgH/MIUF7ejSE9QKErCbqP+AslpEj75LE+Ft5btOC1U4EJtp&#10;/YjN2wGCKlxIHAwnmfD/wYrX23VkWracHsqBpSe6/fjtx4fPP79/ovX26xd2nkUaAzZUe+XW8bjD&#10;sI6Z8a6LNv8TF7Yrwu5PwqpdYoIOz+r584ua9Bd3uep3Y4iYXipvWQ5abrTLnKGB7StMdBmV3pXk&#10;Y+PY2PKL+WxOcECW6QwkCm0gEuj60oveaHmtjckdGPvNlYlsC9kE5ZcpEe6DsnzJCnA41JXUwR6D&#10;AvnCSZb2geRx5GOeR7BKcmYU2T5HBAhNAm3+ppKuNi43qGLRI8+s8UHVHG283NPT3ISo+4F0mZaZ&#10;c4asUKY/2jZ77f6e4vsf1/I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hXxSANYAAAAJAQAADwAA&#10;AAAAAAABACAAAAAiAAAAZHJzL2Rvd25yZXYueG1sUEsBAhQAFAAAAAgAh07iQBNREoTfAQAApAMA&#10;AA4AAAAAAAAAAQAgAAAAJQ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2022年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2098" w:right="1474" w:bottom="1814" w:left="147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numPr>
        <w:ilvl w:val="0"/>
        <w:numId w:val="0"/>
      </w:numPr>
      <w:tabs>
        <w:tab w:val="clear" w:pos="4153"/>
      </w:tabs>
      <w:autoSpaceDE/>
      <w:autoSpaceDN/>
      <w:snapToGrid w:val="0"/>
      <w:spacing w:before="0" w:after="160" w:line="240" w:lineRule="auto"/>
      <w:ind w:right="0" w:firstLine="0"/>
      <w:jc w:val="right"/>
      <w:rPr>
        <w:rFonts w:hint="default" w:ascii="Times New Roman" w:hAnsi="Times New Roman" w:eastAsia="Times New Roman"/>
        <w:color w:val="auto"/>
        <w:position w:val="0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93115" cy="48514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115" cy="485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7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8.2pt;width:62.45pt;mso-position-horizontal:outside;mso-position-horizontal-relative:margin;z-index:251658240;mso-width-relative:page;mso-height-relative:page;" filled="f" stroked="f" coordsize="21600,21600" o:gfxdata="UEsDBAoAAAAAAIdO4kAAAAAAAAAAAAAAAAAEAAAAZHJzL1BLAwQUAAAACACHTuJAJV/VMtUAAAAE&#10;AQAADwAAAGRycy9kb3ducmV2LnhtbE2PS0/DMBCE70j8B2uRuFE7VVVoiNMDjxuPUooENydekgh7&#10;HcWbtPx7XC5wWWk0o5lvi/XBOzHhELtAGrKZAoFUB9tRo2H3en9xBSKyIWtcINTwjRHW5elJYXIb&#10;9vSC05YbkUoo5kZDy9znUsa6RW/iLPRIyfsMgzec5NBIO5h9KvdOzpVaSm86Sgut6fGmxfprO3oN&#10;7j0OD5Xij+m2eeTNsxzf7rInrc/PMnUNgvHAf2E44id0KBNTFUayUTgN6RH+vUdvvliBqDRcLhcg&#10;y0L+hy9/AFBLAwQUAAAACACHTuJAJrr2IxwCAAATBAAADgAAAGRycy9lMm9Eb2MueG1srVNNbhMx&#10;FN4jcQfLezJJ05QSZVKFVkFIEa0UEGvHY2cs2X7GdjITDgA36IoNe86Vc/DsyaQIWCE2njd+v9/3&#10;Ps9uWqPJXvigwJZ0NBhSIiyHStltST+8X764piREZiumwYqSHkSgN/Pnz2aNm4oLqEFXwhMsYsO0&#10;cSWtY3TTogi8FoaFAThh0SnBGxbx12+LyrMGqxtdXAyHV0UDvnIeuAgBb+86J53n+lIKHu+lDCIS&#10;XVKcLebT53OTzmI+Y9OtZ65W/DQG+4cpDFMWm55L3bHIyM6rP0oZxT0EkHHAwRQgpeIiY0A0o+Fv&#10;aNY1cyJjQXKCO9MU/l9Z/m7/4ImqSjqmxDKDKzo+fj1++3H8/oWMEz2NC1OMWjuMi+1raHHN/X3A&#10;y4S6ld6kL+Ih6EeiD2dyRRsJx8uXr8aj0YQSjq7L68noMpNfPCU7H+IbAYYko6Qed5cpZftViDgI&#10;hvYhqZeFpdI6709b0pT0ajwZ5oSzBzO0xcQEoRs1WbHdtCdcG6gOCMtDp4vg+FJh8xUL8YF5FAIi&#10;QXHHezykBmwCJ4uSGvznv92neNwPeilpUFglDZ92zAtK9FuLm0sq7A3fG5vesDtzC6jVET4bx7OJ&#10;CT7q3pQezEfU/CJ1QRezHHuVNPbmbezkjW+Gi8UiB+2cV9u6S0DdORZXdu14atNRudhFkCqznCjq&#10;eDkxh8rL5J9eSZL2r/856uktz3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JV/VMtUAAAAEAQAA&#10;DwAAAAAAAAABACAAAAAiAAAAZHJzL2Rvd25yZXYueG1sUEsBAhQAFAAAAAgAh07iQCa69iMcAgAA&#10;EwQAAA4AAAAAAAAAAQAgAAAAJA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7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framePr w:wrap="around" w:vAnchor="text" w:hAnchor="margin" w:x="4463" w:y="1"/>
      <w:numPr>
        <w:ilvl w:val="0"/>
        <w:numId w:val="0"/>
      </w:numPr>
      <w:autoSpaceDE/>
      <w:autoSpaceDN/>
      <w:snapToGrid w:val="0"/>
      <w:spacing w:before="0" w:after="160" w:line="240" w:lineRule="auto"/>
      <w:ind w:right="0" w:firstLine="0"/>
      <w:jc w:val="left"/>
      <w:rPr>
        <w:rStyle w:val="28"/>
        <w:rFonts w:hint="default" w:ascii="Times New Roman" w:hAnsi="Times New Roman" w:eastAsia="Times New Roman"/>
        <w:color w:val="auto"/>
        <w:position w:val="0"/>
        <w:sz w:val="18"/>
        <w:szCs w:val="18"/>
      </w:rPr>
    </w:pPr>
    <w:r>
      <w:rPr>
        <w:rFonts w:hint="default" w:ascii="Times New Roman" w:hAnsi="Times New Roman" w:eastAsia="Times New Roman"/>
        <w:color w:val="auto"/>
        <w:position w:val="0"/>
        <w:sz w:val="18"/>
        <w:szCs w:val="18"/>
      </w:rPr>
      <w:fldChar w:fldCharType="begin"/>
    </w:r>
    <w:r>
      <w:instrText xml:space="preserve">PAGE  \* MERGEFORMAT</w:instrText>
    </w:r>
    <w:r>
      <w:fldChar w:fldCharType="separate"/>
    </w:r>
    <w:r>
      <w:rPr>
        <w:rStyle w:val="28"/>
        <w:rFonts w:hint="default" w:ascii="Times New Roman" w:hAnsi="Times New Roman" w:eastAsia="Times New Roman"/>
        <w:color w:val="auto"/>
        <w:position w:val="0"/>
        <w:sz w:val="18"/>
        <w:szCs w:val="18"/>
      </w:rPr>
      <w:t>1</w:t>
    </w:r>
    <w:r>
      <w:rPr>
        <w:rStyle w:val="28"/>
        <w:rFonts w:hint="default" w:ascii="Times New Roman" w:hAnsi="Times New Roman" w:eastAsia="Times New Roman"/>
        <w:color w:val="auto"/>
        <w:position w:val="0"/>
        <w:sz w:val="18"/>
        <w:szCs w:val="18"/>
      </w:rPr>
      <w:fldChar w:fldCharType="end"/>
    </w:r>
  </w:p>
  <w:p>
    <w:pPr>
      <w:pStyle w:val="17"/>
      <w:numPr>
        <w:ilvl w:val="0"/>
        <w:numId w:val="0"/>
      </w:numPr>
      <w:autoSpaceDE/>
      <w:autoSpaceDN/>
      <w:snapToGrid w:val="0"/>
      <w:spacing w:before="0" w:after="160" w:line="240" w:lineRule="auto"/>
      <w:ind w:right="0" w:firstLine="0"/>
      <w:jc w:val="left"/>
      <w:rPr>
        <w:rFonts w:hint="default" w:ascii="Times New Roman" w:hAnsi="Times New Roman" w:eastAsia="Times New Roman"/>
        <w:color w:val="auto"/>
        <w:position w:val="0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ZWNmNDQ3ZDMxZGYzZDkxNGI4ZDI2YjhjNjNhODIwN2YifQ=="/>
  </w:docVars>
  <w:rsids>
    <w:rsidRoot w:val="00000000"/>
    <w:rsid w:val="03ED6582"/>
    <w:rsid w:val="0A425F42"/>
    <w:rsid w:val="0A8B6AC0"/>
    <w:rsid w:val="0ACC7866"/>
    <w:rsid w:val="0D427EF1"/>
    <w:rsid w:val="11F37AF7"/>
    <w:rsid w:val="127E3AA8"/>
    <w:rsid w:val="13894946"/>
    <w:rsid w:val="14E815B1"/>
    <w:rsid w:val="15195F18"/>
    <w:rsid w:val="159261FF"/>
    <w:rsid w:val="163A552C"/>
    <w:rsid w:val="16DA7409"/>
    <w:rsid w:val="1A4F787F"/>
    <w:rsid w:val="1A695663"/>
    <w:rsid w:val="1A953747"/>
    <w:rsid w:val="1E703358"/>
    <w:rsid w:val="208B324C"/>
    <w:rsid w:val="20DF72DE"/>
    <w:rsid w:val="21685592"/>
    <w:rsid w:val="21F52362"/>
    <w:rsid w:val="22337E9A"/>
    <w:rsid w:val="25B85270"/>
    <w:rsid w:val="29D7551C"/>
    <w:rsid w:val="2D472CC7"/>
    <w:rsid w:val="2E8C3F7C"/>
    <w:rsid w:val="2F462031"/>
    <w:rsid w:val="2FD600C2"/>
    <w:rsid w:val="30B279D9"/>
    <w:rsid w:val="322E5108"/>
    <w:rsid w:val="324B1C87"/>
    <w:rsid w:val="33EF2B81"/>
    <w:rsid w:val="37DE40D3"/>
    <w:rsid w:val="3B8F5B71"/>
    <w:rsid w:val="3BFC7D4F"/>
    <w:rsid w:val="3CB702FC"/>
    <w:rsid w:val="3E813391"/>
    <w:rsid w:val="415802A5"/>
    <w:rsid w:val="42E800FC"/>
    <w:rsid w:val="44002851"/>
    <w:rsid w:val="456C0F33"/>
    <w:rsid w:val="45E9348C"/>
    <w:rsid w:val="4C02527A"/>
    <w:rsid w:val="4C971E57"/>
    <w:rsid w:val="4F902493"/>
    <w:rsid w:val="502A762A"/>
    <w:rsid w:val="50AF3459"/>
    <w:rsid w:val="50D3786F"/>
    <w:rsid w:val="516C4B31"/>
    <w:rsid w:val="52704416"/>
    <w:rsid w:val="54A254DF"/>
    <w:rsid w:val="55042819"/>
    <w:rsid w:val="55234DA1"/>
    <w:rsid w:val="55395016"/>
    <w:rsid w:val="56C47CCD"/>
    <w:rsid w:val="576511D6"/>
    <w:rsid w:val="5A1C03F0"/>
    <w:rsid w:val="600F37D0"/>
    <w:rsid w:val="602C4B02"/>
    <w:rsid w:val="627D7A3B"/>
    <w:rsid w:val="63C67A14"/>
    <w:rsid w:val="66E62360"/>
    <w:rsid w:val="677C4162"/>
    <w:rsid w:val="67DB2526"/>
    <w:rsid w:val="68A962FF"/>
    <w:rsid w:val="6A7A17DB"/>
    <w:rsid w:val="70FC2FAE"/>
    <w:rsid w:val="7C8B2ACC"/>
    <w:rsid w:val="7DF658A9"/>
    <w:rsid w:val="7EF830B9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151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152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iPriority="2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3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/>
      <w:wordWrap/>
      <w:autoSpaceDE/>
      <w:autoSpaceDN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styleId="3">
    <w:name w:val="heading 1"/>
    <w:next w:val="1"/>
    <w:qFormat/>
    <w:uiPriority w:val="7"/>
    <w:pPr>
      <w:widowControl/>
      <w:wordWrap/>
      <w:autoSpaceDE/>
      <w:autoSpaceDN/>
      <w:jc w:val="both"/>
    </w:pPr>
    <w:rPr>
      <w:rFonts w:ascii="Calibri" w:hAnsi="Calibri" w:eastAsia="宋体" w:cstheme="minorBidi"/>
      <w:w w:val="100"/>
      <w:sz w:val="28"/>
      <w:szCs w:val="28"/>
      <w:shd w:val="clear"/>
    </w:rPr>
  </w:style>
  <w:style w:type="paragraph" w:styleId="4">
    <w:name w:val="heading 2"/>
    <w:next w:val="1"/>
    <w:qFormat/>
    <w:uiPriority w:val="8"/>
    <w:pPr>
      <w:widowControl/>
      <w:wordWrap/>
      <w:autoSpaceDE/>
      <w:autoSpaceDN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5">
    <w:name w:val="heading 3"/>
    <w:next w:val="1"/>
    <w:qFormat/>
    <w:uiPriority w:val="9"/>
    <w:pPr>
      <w:widowControl/>
      <w:wordWrap/>
      <w:autoSpaceDE/>
      <w:autoSpaceDN/>
      <w:ind w:left="1000" w:hanging="40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6">
    <w:name w:val="heading 4"/>
    <w:next w:val="1"/>
    <w:qFormat/>
    <w:uiPriority w:val="10"/>
    <w:pPr>
      <w:widowControl/>
      <w:wordWrap/>
      <w:autoSpaceDE/>
      <w:autoSpaceDN/>
      <w:ind w:left="1200" w:hanging="400"/>
      <w:jc w:val="both"/>
    </w:pPr>
    <w:rPr>
      <w:rFonts w:ascii="Calibri" w:hAnsi="Calibri" w:eastAsia="宋体" w:cstheme="minorBidi"/>
      <w:b/>
      <w:w w:val="100"/>
      <w:sz w:val="21"/>
      <w:szCs w:val="21"/>
      <w:shd w:val="clear"/>
    </w:rPr>
  </w:style>
  <w:style w:type="paragraph" w:styleId="7">
    <w:name w:val="heading 5"/>
    <w:next w:val="1"/>
    <w:qFormat/>
    <w:uiPriority w:val="11"/>
    <w:pPr>
      <w:widowControl/>
      <w:wordWrap/>
      <w:autoSpaceDE/>
      <w:autoSpaceDN/>
      <w:ind w:left="1400" w:hanging="40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8">
    <w:name w:val="heading 6"/>
    <w:next w:val="1"/>
    <w:qFormat/>
    <w:uiPriority w:val="12"/>
    <w:pPr>
      <w:widowControl/>
      <w:wordWrap/>
      <w:autoSpaceDE/>
      <w:autoSpaceDN/>
      <w:ind w:left="1600" w:hanging="400"/>
      <w:jc w:val="both"/>
    </w:pPr>
    <w:rPr>
      <w:rFonts w:ascii="Calibri" w:hAnsi="Calibri" w:eastAsia="宋体" w:cstheme="minorBidi"/>
      <w:b/>
      <w:w w:val="100"/>
      <w:sz w:val="21"/>
      <w:szCs w:val="21"/>
      <w:shd w:val="clear"/>
    </w:rPr>
  </w:style>
  <w:style w:type="paragraph" w:styleId="9">
    <w:name w:val="heading 7"/>
    <w:next w:val="1"/>
    <w:qFormat/>
    <w:uiPriority w:val="13"/>
    <w:pPr>
      <w:widowControl/>
      <w:wordWrap/>
      <w:autoSpaceDE/>
      <w:autoSpaceDN/>
      <w:ind w:left="1800" w:hanging="40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10">
    <w:name w:val="heading 8"/>
    <w:next w:val="1"/>
    <w:qFormat/>
    <w:uiPriority w:val="14"/>
    <w:pPr>
      <w:widowControl/>
      <w:wordWrap/>
      <w:autoSpaceDE/>
      <w:autoSpaceDN/>
      <w:ind w:left="2000" w:hanging="40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11">
    <w:name w:val="heading 9"/>
    <w:next w:val="1"/>
    <w:qFormat/>
    <w:uiPriority w:val="15"/>
    <w:pPr>
      <w:widowControl/>
      <w:wordWrap/>
      <w:autoSpaceDE/>
      <w:autoSpaceDN/>
      <w:ind w:left="2200" w:hanging="40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character" w:default="1" w:styleId="26">
    <w:name w:val="Default Paragraph Font"/>
    <w:unhideWhenUsed/>
    <w:qFormat/>
    <w:uiPriority w:val="2"/>
  </w:style>
  <w:style w:type="table" w:default="1" w:styleId="30">
    <w:name w:val="Normal Table"/>
    <w:unhideWhenUsed/>
    <w:qFormat/>
    <w:uiPriority w:val="3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1.正文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2">
    <w:name w:val="toc 7"/>
    <w:next w:val="1"/>
    <w:unhideWhenUsed/>
    <w:qFormat/>
    <w:uiPriority w:val="34"/>
    <w:pPr>
      <w:widowControl/>
      <w:wordWrap/>
      <w:autoSpaceDE/>
      <w:autoSpaceDN/>
      <w:ind w:left="2550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13">
    <w:name w:val="toc 5"/>
    <w:next w:val="1"/>
    <w:unhideWhenUsed/>
    <w:qFormat/>
    <w:uiPriority w:val="32"/>
    <w:pPr>
      <w:widowControl/>
      <w:wordWrap/>
      <w:autoSpaceDE/>
      <w:autoSpaceDN/>
      <w:ind w:left="1700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14">
    <w:name w:val="toc 3"/>
    <w:next w:val="1"/>
    <w:unhideWhenUsed/>
    <w:qFormat/>
    <w:uiPriority w:val="30"/>
    <w:pPr>
      <w:widowControl/>
      <w:wordWrap/>
      <w:autoSpaceDE/>
      <w:autoSpaceDN/>
      <w:ind w:left="850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15">
    <w:name w:val="Plain Text"/>
    <w:basedOn w:val="1"/>
    <w:qFormat/>
    <w:uiPriority w:val="0"/>
    <w:rPr>
      <w:rFonts w:ascii="宋体" w:hAnsi="Courier New"/>
      <w:szCs w:val="20"/>
    </w:rPr>
  </w:style>
  <w:style w:type="paragraph" w:styleId="16">
    <w:name w:val="toc 8"/>
    <w:next w:val="1"/>
    <w:unhideWhenUsed/>
    <w:qFormat/>
    <w:uiPriority w:val="35"/>
    <w:pPr>
      <w:widowControl/>
      <w:wordWrap/>
      <w:autoSpaceDE/>
      <w:autoSpaceDN/>
      <w:ind w:left="2975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17">
    <w:name w:val="footer"/>
    <w:basedOn w:val="1"/>
    <w:link w:val="42"/>
    <w:qFormat/>
    <w:uiPriority w:val="151"/>
    <w:pPr>
      <w:widowControl/>
      <w:tabs>
        <w:tab w:val="center" w:pos="4153"/>
        <w:tab w:val="right" w:pos="8306"/>
      </w:tabs>
      <w:wordWrap/>
      <w:autoSpaceDE/>
      <w:autoSpaceDN/>
    </w:pPr>
    <w:rPr>
      <w:w w:val="100"/>
      <w:sz w:val="18"/>
      <w:szCs w:val="18"/>
      <w:shd w:val="clear"/>
    </w:rPr>
  </w:style>
  <w:style w:type="paragraph" w:styleId="1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9">
    <w:name w:val="toc 1"/>
    <w:next w:val="1"/>
    <w:unhideWhenUsed/>
    <w:qFormat/>
    <w:uiPriority w:val="28"/>
    <w:pPr>
      <w:widowControl/>
      <w:wordWrap/>
      <w:autoSpaceDE/>
      <w:autoSpaceDN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20">
    <w:name w:val="toc 4"/>
    <w:next w:val="1"/>
    <w:unhideWhenUsed/>
    <w:qFormat/>
    <w:uiPriority w:val="31"/>
    <w:pPr>
      <w:widowControl/>
      <w:wordWrap/>
      <w:autoSpaceDE/>
      <w:autoSpaceDN/>
      <w:ind w:left="1275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21">
    <w:name w:val="Subtitle"/>
    <w:qFormat/>
    <w:uiPriority w:val="16"/>
    <w:pPr>
      <w:widowControl/>
      <w:wordWrap/>
      <w:autoSpaceDE/>
      <w:autoSpaceDN/>
      <w:jc w:val="center"/>
    </w:pPr>
    <w:rPr>
      <w:rFonts w:ascii="Calibri" w:hAnsi="Calibri" w:eastAsia="宋体" w:cstheme="minorBidi"/>
      <w:w w:val="100"/>
      <w:sz w:val="24"/>
      <w:szCs w:val="24"/>
      <w:shd w:val="clear"/>
    </w:rPr>
  </w:style>
  <w:style w:type="paragraph" w:styleId="22">
    <w:name w:val="toc 6"/>
    <w:next w:val="1"/>
    <w:unhideWhenUsed/>
    <w:qFormat/>
    <w:uiPriority w:val="33"/>
    <w:pPr>
      <w:widowControl/>
      <w:wordWrap/>
      <w:autoSpaceDE/>
      <w:autoSpaceDN/>
      <w:ind w:left="2125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23">
    <w:name w:val="toc 2"/>
    <w:next w:val="1"/>
    <w:unhideWhenUsed/>
    <w:qFormat/>
    <w:uiPriority w:val="29"/>
    <w:pPr>
      <w:widowControl/>
      <w:wordWrap/>
      <w:autoSpaceDE/>
      <w:autoSpaceDN/>
      <w:ind w:left="425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24">
    <w:name w:val="toc 9"/>
    <w:next w:val="1"/>
    <w:unhideWhenUsed/>
    <w:qFormat/>
    <w:uiPriority w:val="36"/>
    <w:pPr>
      <w:widowControl/>
      <w:wordWrap/>
      <w:autoSpaceDE/>
      <w:autoSpaceDN/>
      <w:ind w:left="3400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25">
    <w:name w:val="Title"/>
    <w:qFormat/>
    <w:uiPriority w:val="6"/>
    <w:pPr>
      <w:widowControl/>
      <w:wordWrap/>
      <w:autoSpaceDE/>
      <w:autoSpaceDN/>
      <w:jc w:val="center"/>
    </w:pPr>
    <w:rPr>
      <w:rFonts w:ascii="Calibri" w:hAnsi="Calibri" w:eastAsia="宋体" w:cstheme="minorBidi"/>
      <w:b/>
      <w:w w:val="100"/>
      <w:sz w:val="32"/>
      <w:szCs w:val="32"/>
      <w:shd w:val="clear"/>
    </w:rPr>
  </w:style>
  <w:style w:type="character" w:styleId="27">
    <w:name w:val="Strong"/>
    <w:qFormat/>
    <w:uiPriority w:val="20"/>
    <w:rPr>
      <w:b/>
      <w:w w:val="100"/>
      <w:sz w:val="21"/>
      <w:szCs w:val="21"/>
      <w:shd w:val="clear"/>
    </w:rPr>
  </w:style>
  <w:style w:type="character" w:styleId="28">
    <w:name w:val="page number"/>
    <w:basedOn w:val="26"/>
    <w:qFormat/>
    <w:uiPriority w:val="152"/>
  </w:style>
  <w:style w:type="character" w:styleId="29">
    <w:name w:val="Emphasis"/>
    <w:qFormat/>
    <w:uiPriority w:val="18"/>
    <w:rPr>
      <w:i/>
      <w:w w:val="100"/>
      <w:sz w:val="21"/>
      <w:szCs w:val="21"/>
      <w:shd w:val="clear"/>
    </w:rPr>
  </w:style>
  <w:style w:type="table" w:styleId="31">
    <w:name w:val="Table Grid"/>
    <w:basedOn w:val="3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32">
    <w:name w:val="No Spacing"/>
    <w:qFormat/>
    <w:uiPriority w:val="5"/>
    <w:pPr>
      <w:widowControl/>
      <w:wordWrap/>
      <w:autoSpaceDE/>
      <w:autoSpaceDN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character" w:customStyle="1" w:styleId="33">
    <w:name w:val="Subtle Emphasis"/>
    <w:qFormat/>
    <w:uiPriority w:val="17"/>
    <w:rPr>
      <w:i/>
      <w:color w:val="404040"/>
      <w:w w:val="100"/>
      <w:sz w:val="21"/>
      <w:szCs w:val="21"/>
      <w:shd w:val="clear"/>
    </w:rPr>
  </w:style>
  <w:style w:type="character" w:customStyle="1" w:styleId="34">
    <w:name w:val="Intense Emphasis"/>
    <w:qFormat/>
    <w:uiPriority w:val="19"/>
    <w:rPr>
      <w:i/>
      <w:color w:val="5B9BD5"/>
      <w:w w:val="100"/>
      <w:sz w:val="21"/>
      <w:szCs w:val="21"/>
      <w:shd w:val="clear"/>
    </w:rPr>
  </w:style>
  <w:style w:type="paragraph" w:styleId="35">
    <w:name w:val="Quote"/>
    <w:qFormat/>
    <w:uiPriority w:val="21"/>
    <w:pPr>
      <w:widowControl/>
      <w:wordWrap/>
      <w:autoSpaceDE/>
      <w:autoSpaceDN/>
      <w:ind w:left="864" w:right="864" w:firstLine="0"/>
      <w:jc w:val="center"/>
    </w:pPr>
    <w:rPr>
      <w:rFonts w:ascii="Calibri" w:hAnsi="Calibri" w:eastAsia="宋体" w:cstheme="minorBidi"/>
      <w:i/>
      <w:color w:val="404040"/>
      <w:w w:val="100"/>
      <w:sz w:val="21"/>
      <w:szCs w:val="21"/>
      <w:shd w:val="clear"/>
    </w:rPr>
  </w:style>
  <w:style w:type="paragraph" w:styleId="36">
    <w:name w:val="Intense Quote"/>
    <w:qFormat/>
    <w:uiPriority w:val="22"/>
    <w:pPr>
      <w:widowControl/>
      <w:wordWrap/>
      <w:autoSpaceDE/>
      <w:autoSpaceDN/>
      <w:ind w:left="950" w:right="950" w:firstLine="0"/>
      <w:jc w:val="center"/>
    </w:pPr>
    <w:rPr>
      <w:rFonts w:ascii="Calibri" w:hAnsi="Calibri" w:eastAsia="宋体" w:cstheme="minorBidi"/>
      <w:i/>
      <w:color w:val="5B9BD5"/>
      <w:w w:val="100"/>
      <w:sz w:val="21"/>
      <w:szCs w:val="21"/>
      <w:shd w:val="clear"/>
    </w:rPr>
  </w:style>
  <w:style w:type="character" w:customStyle="1" w:styleId="37">
    <w:name w:val="Subtle Reference"/>
    <w:qFormat/>
    <w:uiPriority w:val="23"/>
    <w:rPr>
      <w:smallCaps/>
      <w:color w:val="5A5A5A"/>
      <w:w w:val="100"/>
      <w:sz w:val="21"/>
      <w:szCs w:val="21"/>
      <w:shd w:val="clear"/>
    </w:rPr>
  </w:style>
  <w:style w:type="character" w:customStyle="1" w:styleId="38">
    <w:name w:val="Intense Reference"/>
    <w:qFormat/>
    <w:uiPriority w:val="24"/>
    <w:rPr>
      <w:b/>
      <w:smallCaps/>
      <w:color w:val="5B9BD5"/>
      <w:w w:val="100"/>
      <w:sz w:val="21"/>
      <w:szCs w:val="21"/>
      <w:shd w:val="clear"/>
    </w:rPr>
  </w:style>
  <w:style w:type="character" w:customStyle="1" w:styleId="39">
    <w:name w:val="Book Title"/>
    <w:qFormat/>
    <w:uiPriority w:val="25"/>
    <w:rPr>
      <w:b/>
      <w:i/>
      <w:w w:val="100"/>
      <w:sz w:val="21"/>
      <w:szCs w:val="21"/>
      <w:shd w:val="clear"/>
    </w:rPr>
  </w:style>
  <w:style w:type="paragraph" w:styleId="40">
    <w:name w:val="List Paragraph"/>
    <w:qFormat/>
    <w:uiPriority w:val="26"/>
    <w:pPr>
      <w:widowControl/>
      <w:wordWrap/>
      <w:autoSpaceDE/>
      <w:autoSpaceDN/>
      <w:ind w:left="850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customStyle="1" w:styleId="41">
    <w:name w:val="TOC Heading"/>
    <w:unhideWhenUsed/>
    <w:qFormat/>
    <w:uiPriority w:val="27"/>
    <w:pPr>
      <w:widowControl/>
      <w:wordWrap/>
      <w:autoSpaceDE/>
      <w:autoSpaceDN/>
    </w:pPr>
    <w:rPr>
      <w:rFonts w:ascii="Calibri" w:hAnsi="Calibri" w:eastAsia="宋体" w:cstheme="minorBidi"/>
      <w:color w:val="2E74B5"/>
      <w:w w:val="100"/>
      <w:sz w:val="32"/>
      <w:szCs w:val="32"/>
      <w:shd w:val="clear"/>
    </w:rPr>
  </w:style>
  <w:style w:type="character" w:customStyle="1" w:styleId="42">
    <w:name w:val="页脚 Char"/>
    <w:basedOn w:val="26"/>
    <w:link w:val="17"/>
    <w:qFormat/>
    <w:uiPriority w:val="153"/>
    <w:rPr>
      <w:rFonts w:ascii="Times New Roman" w:hAnsi="Times New Roman" w:eastAsia="Times New Roman"/>
      <w:w w:val="100"/>
      <w:sz w:val="18"/>
      <w:szCs w:val="18"/>
      <w:shd w:val="cle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5072</Words>
  <Characters>5216</Characters>
  <Lines>10</Lines>
  <Paragraphs>2</Paragraphs>
  <TotalTime>7</TotalTime>
  <ScaleCrop>false</ScaleCrop>
  <LinksUpToDate>false</LinksUpToDate>
  <CharactersWithSpaces>5673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2018-09-29T06:45:00Z</dcterms:created>
  <dc:creator>user</dc:creator>
  <cp:lastModifiedBy>Administrator</cp:lastModifiedBy>
  <cp:lastPrinted>2022-05-18T02:03:00Z</cp:lastPrinted>
  <dcterms:modified xsi:type="dcterms:W3CDTF">2022-08-29T08:34:48Z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F447392DFB3A499288C718813BBC7CE7</vt:lpwstr>
  </property>
</Properties>
</file>